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5112"/>
        <w:gridCol w:w="5112"/>
      </w:tblGrid>
      <w:tr>
        <w:tc>
          <w:tcPr>
            <w:tcW w:type="dxa" w:w="5112"/>
          </w:tcPr>
          <w:p>
            <w:r>
              <w:rPr>
                <w:b/>
                <w:color w:val="1F3A5F"/>
                <w:sz w:val="22"/>
              </w:rPr>
              <w:t>CAPABILITY STATEMENT</w:t>
              <w:br/>
            </w:r>
            <w:r>
              <w:rPr>
                <w:b/>
                <w:color w:val="1F3A5F"/>
                <w:sz w:val="30"/>
              </w:rPr>
              <w:t>Hector A. Aviles</w:t>
              <w:br/>
            </w:r>
            <w:r>
              <w:rPr>
                <w:color w:val="1F3A5F"/>
                <w:sz w:val="20"/>
              </w:rPr>
              <w:t>Principal Consultant — Compliance, Certification &amp; Critical-Power Infrastructure</w:t>
            </w:r>
          </w:p>
        </w:tc>
        <w:tc>
          <w:tcPr>
            <w:tcW w:type="dxa" w:w="5112"/>
          </w:tcPr>
          <w:p>
            <w:pPr>
              <w:jc w:val="right"/>
            </w:pPr>
            <w:r>
              <w:rPr>
                <w:b/>
                <w:color w:val="1F3A5F"/>
                <w:sz w:val="20"/>
              </w:rPr>
              <w:t>THE FIRST CALL GROUP, INC.</w:t>
              <w:br/>
            </w:r>
            <w:r>
              <w:rPr>
                <w:b w:val="0"/>
                <w:color w:val="1F3A5F"/>
                <w:sz w:val="16"/>
              </w:rPr>
              <w:t>Critical Infrastructure Advisory, Governance, and Integration</w:t>
              <w:br/>
            </w:r>
            <w:r>
              <w:rPr>
                <w:b w:val="0"/>
                <w:color w:val="1F3A5F"/>
                <w:sz w:val="16"/>
              </w:rPr>
              <w:t>Tucson, AZ</w:t>
              <w:br/>
            </w:r>
            <w:r>
              <w:rPr>
                <w:b w:val="0"/>
                <w:color w:val="1F3A5F"/>
                <w:sz w:val="16"/>
              </w:rPr>
              <w:t>jason.agee@thefirstcallgroup.com</w:t>
              <w:br/>
            </w:r>
            <w:r>
              <w:rPr>
                <w:b w:val="0"/>
                <w:color w:val="1F3A5F"/>
                <w:sz w:val="16"/>
              </w:rPr>
              <w:t>thefirstcallgroup.com</w:t>
              <w:br/>
            </w:r>
          </w:p>
        </w:tc>
      </w:tr>
    </w:tbl>
    <w:p/>
    <w:p>
      <w:pPr>
        <w:spacing w:after="80"/>
      </w:pPr>
      <w:r>
        <w:rPr>
          <w:sz w:val="21"/>
        </w:rPr>
        <w:t>Hector A. Aviles is a Fremont, California–based principal subject-matter expert in global compliance and regulatory strategy offered through The First Call Group bench for federal, hyperscale, OEM, utility, and colocation engagements requiring AI data center and critical-power compliance leadership, product safety and electromagnetic compatibility (EMC) engineering, energy-storage and fire/life-safety standards alignment, and certification-strategy ownership from concept through new product introduction (NPI), first customer ship, and field deployment. He brings 28+ years of progressive compliance leadership across hyperscale data centers, AI infrastructure, industrial networking, and mission-critical systems — currently leading compliance for Meta hyperscale AI and HVDC programs at Delta Electronics and previously serving as IIoT Program Compliance Manager and NEBS Compliance Project Manager at Cisco. He is positioned for senior advisor, principal investigator, key personnel, and assessor-support roles on Department of Energy, Department of Defense, General Services Administration, Department of Homeland Security, and national-laboratory critical-infrastructure engagements.</w:t>
      </w:r>
    </w:p>
    <w:p>
      <w:pPr>
        <w:spacing w:before="200" w:after="60"/>
      </w:pPr>
      <w:r>
        <w:rPr>
          <w:b/>
          <w:color w:val="1F3A5F"/>
          <w:sz w:val="23"/>
        </w:rPr>
        <w:t>CORE COMPETENCIES</w:t>
      </w:r>
    </w:p>
    <w:tbl>
      <w:tblPr>
        <w:tblW w:type="auto" w:w="0"/>
        <w:tblLook w:firstColumn="1" w:firstRow="1" w:lastColumn="0" w:lastRow="0" w:noHBand="0" w:noVBand="1" w:val="04A0"/>
      </w:tblPr>
      <w:tblGrid>
        <w:gridCol w:w="5112"/>
        <w:gridCol w:w="5112"/>
      </w:tblGrid>
      <w:tr>
        <w:tc>
          <w:tcPr>
            <w:tcW w:type="dxa" w:w="5112"/>
          </w:tcPr>
          <w:p>
            <w:r>
              <w:rPr>
                <w:sz w:val="20"/>
              </w:rPr>
              <w:t>•  Global Compliance &amp; Regulatory Strategy</w:t>
            </w:r>
          </w:p>
        </w:tc>
        <w:tc>
          <w:tcPr>
            <w:tcW w:type="dxa" w:w="5112"/>
          </w:tcPr>
          <w:p>
            <w:r>
              <w:rPr>
                <w:sz w:val="20"/>
              </w:rPr>
              <w:t>•  Hyperscale &amp; Colocation Customer Compliance</w:t>
            </w:r>
          </w:p>
        </w:tc>
      </w:tr>
      <w:tr>
        <w:tc>
          <w:tcPr>
            <w:tcW w:type="dxa" w:w="5112"/>
          </w:tcPr>
          <w:p>
            <w:r>
              <w:rPr>
                <w:sz w:val="20"/>
              </w:rPr>
              <w:t>•  Product Safety (UL / IEC 62368-1, IEC 62040)</w:t>
            </w:r>
          </w:p>
        </w:tc>
        <w:tc>
          <w:tcPr>
            <w:tcW w:type="dxa" w:w="5112"/>
          </w:tcPr>
          <w:p>
            <w:r>
              <w:rPr>
                <w:sz w:val="20"/>
              </w:rPr>
              <w:t>•  NPI &amp; First Customer Ship Program Leadership</w:t>
            </w:r>
          </w:p>
        </w:tc>
      </w:tr>
      <w:tr>
        <w:tc>
          <w:tcPr>
            <w:tcW w:type="dxa" w:w="5112"/>
          </w:tcPr>
          <w:p>
            <w:r>
              <w:rPr>
                <w:sz w:val="20"/>
              </w:rPr>
              <w:t>•  EMC / EMI Engineering (FCC, CISPR, CE/RED)</w:t>
            </w:r>
          </w:p>
        </w:tc>
        <w:tc>
          <w:tcPr>
            <w:tcW w:type="dxa" w:w="5112"/>
          </w:tcPr>
          <w:p>
            <w:r>
              <w:rPr>
                <w:sz w:val="20"/>
              </w:rPr>
              <w:t>•  Global Team Building &amp; Talent Development</w:t>
            </w:r>
          </w:p>
        </w:tc>
      </w:tr>
      <w:tr>
        <w:tc>
          <w:tcPr>
            <w:tcW w:type="dxa" w:w="5112"/>
          </w:tcPr>
          <w:p>
            <w:r>
              <w:rPr>
                <w:sz w:val="20"/>
              </w:rPr>
              <w:t>•  Energy Storage Compliance (UL 9540 / 9540A / 1973)</w:t>
            </w:r>
          </w:p>
        </w:tc>
        <w:tc>
          <w:tcPr>
            <w:tcW w:type="dxa" w:w="5112"/>
          </w:tcPr>
          <w:p>
            <w:r>
              <w:rPr>
                <w:sz w:val="20"/>
              </w:rPr>
              <w:t>•  Deployment &amp; Commissioning Readiness</w:t>
            </w:r>
          </w:p>
        </w:tc>
      </w:tr>
      <w:tr>
        <w:tc>
          <w:tcPr>
            <w:tcW w:type="dxa" w:w="5112"/>
          </w:tcPr>
          <w:p>
            <w:r>
              <w:rPr>
                <w:sz w:val="20"/>
              </w:rPr>
              <w:t>•  Data Center Critical Power (HVDC, UPS, BBU)</w:t>
            </w:r>
          </w:p>
        </w:tc>
        <w:tc>
          <w:tcPr>
            <w:tcW w:type="dxa" w:w="5112"/>
          </w:tcPr>
          <w:p>
            <w:r>
              <w:rPr>
                <w:sz w:val="20"/>
              </w:rPr>
              <w:t>•  Root-Cause Analysis &amp; Escalation Management</w:t>
            </w:r>
          </w:p>
        </w:tc>
      </w:tr>
      <w:tr>
        <w:tc>
          <w:tcPr>
            <w:tcW w:type="dxa" w:w="5112"/>
          </w:tcPr>
          <w:p>
            <w:r>
              <w:rPr>
                <w:sz w:val="20"/>
              </w:rPr>
              <w:t>•  Fire &amp; Life Safety (NFPA 70 / 70E / 75 / 76 / 855)</w:t>
            </w:r>
          </w:p>
        </w:tc>
        <w:tc>
          <w:tcPr>
            <w:tcW w:type="dxa" w:w="5112"/>
          </w:tcPr>
          <w:p>
            <w:r>
              <w:rPr>
                <w:sz w:val="20"/>
              </w:rPr>
              <w:t>•  Standards Development &amp; Industry Influence</w:t>
            </w:r>
          </w:p>
        </w:tc>
      </w:tr>
      <w:tr>
        <w:tc>
          <w:tcPr>
            <w:tcW w:type="dxa" w:w="5112"/>
          </w:tcPr>
          <w:p>
            <w:r>
              <w:rPr>
                <w:sz w:val="20"/>
              </w:rPr>
              <w:t>•  NEBS / Telcordia (GR-1089, GR-63, GR-3108)</w:t>
            </w:r>
          </w:p>
        </w:tc>
        <w:tc>
          <w:tcPr>
            <w:tcW w:type="dxa" w:w="5112"/>
          </w:tcPr>
          <w:p>
            <w:r>
              <w:rPr>
                <w:sz w:val="20"/>
              </w:rPr>
              <w:t>•  Quality Systems &amp; Lab Accreditation (ISO 9001 / 17025)</w:t>
            </w:r>
          </w:p>
        </w:tc>
      </w:tr>
      <w:tr>
        <w:tc>
          <w:tcPr>
            <w:tcW w:type="dxa" w:w="5112"/>
          </w:tcPr>
          <w:p>
            <w:r>
              <w:rPr>
                <w:sz w:val="20"/>
              </w:rPr>
              <w:t>•  Certification Body &amp; NRTL Management</w:t>
            </w:r>
          </w:p>
        </w:tc>
        <w:tc>
          <w:tcPr>
            <w:tcW w:type="dxa" w:w="5112"/>
          </w:tcPr>
          <w:p>
            <w:r>
              <w:rPr>
                <w:sz w:val="20"/>
              </w:rPr>
              <w:t>•  Environmental Compliance (RoHS, REACH, WEEE)</w:t>
            </w:r>
          </w:p>
        </w:tc>
      </w:tr>
      <w:tr>
        <w:tc>
          <w:tcPr>
            <w:tcW w:type="dxa" w:w="5112"/>
          </w:tcPr>
          <w:p>
            <w:r>
              <w:rPr>
                <w:sz w:val="20"/>
              </w:rPr>
              <w:t>•  AHJ, Fire Marshal &amp; Utility Engagement</w:t>
            </w:r>
          </w:p>
        </w:tc>
        <w:tc>
          <w:tcPr>
            <w:tcW w:type="dxa" w:w="5112"/>
          </w:tcPr>
          <w:p>
            <w:r>
              <w:rPr>
                <w:sz w:val="20"/>
              </w:rPr>
              <w:t>•  Cross-Functional &amp; Executive Leadership</w:t>
            </w:r>
          </w:p>
        </w:tc>
      </w:tr>
    </w:tbl>
    <w:p>
      <w:pPr>
        <w:spacing w:before="200" w:after="60"/>
      </w:pPr>
      <w:r>
        <w:rPr>
          <w:b/>
          <w:color w:val="1F3A5F"/>
          <w:sz w:val="23"/>
        </w:rPr>
        <w:t>SUITABLE CONTRACT TYPES</w:t>
      </w:r>
    </w:p>
    <w:p>
      <w:pPr>
        <w:spacing w:after="80"/>
      </w:pPr>
      <w:r>
        <w:rPr>
          <w:sz w:val="20"/>
        </w:rPr>
        <w:t>Hector is positioned for FCG engagements and federal task orders in the following categories:</w:t>
      </w:r>
    </w:p>
    <w:p>
      <w:pPr>
        <w:pStyle w:val="ListBullet"/>
      </w:pPr>
      <w:r>
        <w:rPr>
          <w:sz w:val="20"/>
        </w:rPr>
        <w:t>Independent third-party compliance and certification advisory on federal data center, hyperscale, and critical-infrastructure programs.</w:t>
      </w:r>
    </w:p>
    <w:p>
      <w:pPr>
        <w:pStyle w:val="ListBullet"/>
      </w:pPr>
      <w:r>
        <w:rPr>
          <w:sz w:val="20"/>
        </w:rPr>
        <w:t>Principal investigator or key personnel on AI data center, HVDC power, UPS, BBU, and energy-storage compliance studies for federal agencies, hyperscalers, and national laboratories.</w:t>
      </w:r>
    </w:p>
    <w:p>
      <w:pPr>
        <w:pStyle w:val="ListBullet"/>
      </w:pPr>
      <w:r>
        <w:rPr>
          <w:sz w:val="20"/>
        </w:rPr>
        <w:t>Standards alignment and pre-deployment compliance reviews against UL 2878, UL 2755, UL 9540 / 9540A, UL 1973, UL 62368-1, IEC 62040, NFPA 70 / 70E / 75 / 76 / 855, NEBS GR-1089/63/3108, FCC, CISPR, and the EU Radio Equipment Directive.</w:t>
      </w:r>
    </w:p>
    <w:p>
      <w:pPr>
        <w:pStyle w:val="ListBullet"/>
      </w:pPr>
      <w:r>
        <w:rPr>
          <w:sz w:val="20"/>
        </w:rPr>
        <w:t>AHJ, fire marshal, utility, insurer, and certification-body engagement for high-density, energy-storage-integrated environments.</w:t>
      </w:r>
    </w:p>
    <w:p>
      <w:pPr>
        <w:pStyle w:val="ListBullet"/>
      </w:pPr>
      <w:r>
        <w:rPr>
          <w:sz w:val="20"/>
        </w:rPr>
        <w:t>Root-cause investigation, escalation management, and field-failure analysis support for EMC, product safety, and environmental compliance.</w:t>
      </w:r>
    </w:p>
    <w:p>
      <w:pPr>
        <w:pStyle w:val="ListBullet"/>
      </w:pPr>
      <w:r>
        <w:rPr>
          <w:sz w:val="20"/>
        </w:rPr>
        <w:t>NPI and first-customer-ship readiness reviews supporting OEM and prime contractor product introductions into federal markets.</w:t>
      </w:r>
    </w:p>
    <w:p>
      <w:pPr>
        <w:pStyle w:val="ListBullet"/>
      </w:pPr>
      <w:r>
        <w:rPr>
          <w:sz w:val="20"/>
        </w:rPr>
        <w:t>Cybersecurity-adjacent product safety and regulatory governance for OT/ICS, industrial networking, and grid-edge technologies.</w:t>
      </w:r>
    </w:p>
    <w:p>
      <w:pPr>
        <w:spacing w:before="200" w:after="60"/>
      </w:pPr>
      <w:r>
        <w:rPr>
          <w:b/>
          <w:color w:val="1F3A5F"/>
          <w:sz w:val="23"/>
        </w:rPr>
        <w:t>DEMONSTRATED EXPERIENCE</w:t>
      </w:r>
    </w:p>
    <w:p>
      <w:r>
        <w:rPr>
          <w:b/>
          <w:sz w:val="21"/>
        </w:rPr>
        <w:t>Senior Compliance Engineer — Delta Electronics (Americas), Fremont, CA</w:t>
      </w:r>
      <w:r>
        <w:rPr>
          <w:i/>
          <w:sz w:val="19"/>
        </w:rPr>
        <w:t xml:space="preserve">   (October 2024 – Present)</w:t>
      </w:r>
    </w:p>
    <w:p>
      <w:pPr>
        <w:spacing w:after="80"/>
      </w:pPr>
      <w:r>
        <w:rPr>
          <w:sz w:val="20"/>
        </w:rPr>
        <w:t>Leads global compliance strategy and certification planning for next-generation AI data center infrastructure, HVDC architectures, modular data centers, energy storage systems (ESS), battery backup units (BBU), and uninterruptible power supplies (UPS) supporting hyperscale cloud deployments. Leads compliance for Meta hyperscale AI and HVDC infrastructure programs; technical lead on UL 2878 evaluation and implementation; drives strategy across UL 2755, UL 9540 / 9540A, and UL 1973; directs compliance reviews under NFPA 70 / 70E / 75 / 76 / 855. Coordinates multinational engineering teams across the U.S., Germany, Taiwan, Thailand, and China.</w:t>
      </w:r>
    </w:p>
    <w:p>
      <w:r>
        <w:rPr>
          <w:b/>
          <w:sz w:val="21"/>
        </w:rPr>
        <w:t>IIoT Program Compliance Manager / NEBS Compliance Project Manager — Cisco Systems</w:t>
      </w:r>
      <w:r>
        <w:rPr>
          <w:i/>
          <w:sz w:val="19"/>
        </w:rPr>
        <w:t xml:space="preserve">   (February 2014 – May 2024)</w:t>
      </w:r>
    </w:p>
    <w:p>
      <w:pPr>
        <w:spacing w:after="80"/>
      </w:pPr>
      <w:r>
        <w:rPr>
          <w:sz w:val="20"/>
        </w:rPr>
        <w:t>Directed global compliance programs for industrial networking, routers, switches, wireless access points, Smart Grid, railway, telecom, and IIoT products — concept through NPI, first customer ship, and sustaining support. Built high-performing global compliance test teams; mentored 20+ engineers through the Cisco MESA program; managed NEBS programs (GR-1089, GR-63, GR-3108) and carrier deployments including AT&amp;T; recognized with 70+ awards including the Cisco IIoT 2023 Individual Contributor Award for the IR8340 industrial-router release.</w:t>
      </w:r>
    </w:p>
    <w:p>
      <w:r>
        <w:rPr>
          <w:b/>
          <w:sz w:val="21"/>
        </w:rPr>
        <w:t>EMC / NEBS Compliance Engineer / Project Manager — Juniper Networks</w:t>
      </w:r>
      <w:r>
        <w:rPr>
          <w:i/>
          <w:sz w:val="19"/>
        </w:rPr>
        <w:t xml:space="preserve">   (August 2008 – October 2013)</w:t>
      </w:r>
    </w:p>
    <w:p>
      <w:pPr>
        <w:spacing w:after="80"/>
      </w:pPr>
      <w:r>
        <w:rPr>
          <w:sz w:val="20"/>
        </w:rPr>
        <w:t>Led compliance programs for switching and routing platforms; served as lead engineer for customer escalations and technical investigations; developed compliance procedures, qualification plans, and worldwide certification strategies; built global compliance databases and led laboratory infrastructure and capital-equipment planning.</w:t>
      </w:r>
    </w:p>
    <w:p>
      <w:r>
        <w:rPr>
          <w:b/>
          <w:sz w:val="21"/>
        </w:rPr>
        <w:t>Senior EMC Test Engineer — Apple Inc.</w:t>
      </w:r>
      <w:r>
        <w:rPr>
          <w:i/>
          <w:sz w:val="19"/>
        </w:rPr>
        <w:t xml:space="preserve">   (November 2005 – August 2008)</w:t>
      </w:r>
    </w:p>
    <w:p>
      <w:pPr>
        <w:spacing w:after="80"/>
      </w:pPr>
      <w:r>
        <w:rPr>
          <w:sz w:val="20"/>
        </w:rPr>
        <w:t>Managed EMC laboratory operations, calibration programs, and certification testing across Apple product lines; led test-equipment acquisition and laboratory expansion.</w:t>
      </w:r>
    </w:p>
    <w:p>
      <w:r>
        <w:rPr>
          <w:b/>
          <w:sz w:val="21"/>
        </w:rPr>
        <w:t>Senior EMC Project Engineer / EMC Line Manager — MET Laboratories (prior: HP, C&amp;C Labs)</w:t>
      </w:r>
      <w:r>
        <w:rPr>
          <w:i/>
          <w:sz w:val="19"/>
        </w:rPr>
        <w:t xml:space="preserve">   (1996 – 2005)</w:t>
      </w:r>
    </w:p>
    <w:p>
      <w:pPr>
        <w:spacing w:after="80"/>
      </w:pPr>
      <w:r>
        <w:rPr>
          <w:sz w:val="20"/>
        </w:rPr>
        <w:t>Managed accredited EMC laboratories (ISO/IEC 17025, NVLAP, A2LA, VCCI, ISO 9000) with five direct reports — consultation, quoting, scheduling, operations, and accreditation for IT, telecom, industrial, and medical products. Prior to MET: worldwide EMC testing for printer and consumer technology at Hewlett-Packard, and emissions/immunity/OATS testing at C&amp;C Laboratories.</w:t>
      </w:r>
    </w:p>
    <w:p>
      <w:pPr>
        <w:spacing w:before="200" w:after="60"/>
      </w:pPr>
      <w:r>
        <w:rPr>
          <w:b/>
          <w:color w:val="1F3A5F"/>
          <w:sz w:val="23"/>
        </w:rPr>
        <w:t>EDUCATION &amp; CREDENTIALS</w:t>
      </w:r>
    </w:p>
    <w:p>
      <w:pPr>
        <w:pStyle w:val="ListBullet"/>
      </w:pPr>
      <w:r>
        <w:rPr>
          <w:sz w:val="20"/>
        </w:rPr>
        <w:t>Bachelor of Science, Technical Management — DeVry University</w:t>
      </w:r>
    </w:p>
    <w:p>
      <w:pPr>
        <w:pStyle w:val="ListBullet"/>
      </w:pPr>
      <w:r>
        <w:rPr>
          <w:sz w:val="20"/>
        </w:rPr>
        <w:t>Associate of Applied Science, Electronics Technology — Heald College School of Technology</w:t>
      </w:r>
    </w:p>
    <w:p>
      <w:pPr>
        <w:pStyle w:val="ListBullet"/>
      </w:pPr>
      <w:r>
        <w:rPr>
          <w:sz w:val="20"/>
        </w:rPr>
        <w:t>Certificate of Achievement, Electromagnetic Compatibility Engineering — Henry Ott Consultants</w:t>
      </w:r>
    </w:p>
    <w:p>
      <w:pPr>
        <w:pStyle w:val="ListBullet"/>
      </w:pPr>
      <w:r>
        <w:rPr>
          <w:sz w:val="20"/>
        </w:rPr>
        <w:t>Cisco IIoT 2023 Individual Contributor Award — successful NPI and release of the IR8340 industrial router</w:t>
      </w:r>
    </w:p>
    <w:p>
      <w:pPr>
        <w:pStyle w:val="ListBullet"/>
      </w:pPr>
      <w:r>
        <w:rPr>
          <w:sz w:val="20"/>
        </w:rPr>
        <w:t>70+ Cisco awards recognizing technical leadership and business impact; Cisco MESA Mentor</w:t>
      </w:r>
    </w:p>
    <w:p>
      <w:pPr>
        <w:spacing w:before="200" w:after="60"/>
      </w:pPr>
      <w:r>
        <w:rPr>
          <w:b/>
          <w:color w:val="1F3A5F"/>
          <w:sz w:val="23"/>
        </w:rPr>
        <w:t>DIFFERENTIATORS</w:t>
      </w:r>
    </w:p>
    <w:p>
      <w:pPr>
        <w:pStyle w:val="ListBullet"/>
      </w:pPr>
      <w:r>
        <w:rPr>
          <w:sz w:val="20"/>
        </w:rPr>
        <w:t>28+ years of senior compliance leadership spanning consumer electronics, enterprise networking, telecommunications, industrial IIoT, hyperscale AI, and critical-power infrastructure.</w:t>
      </w:r>
    </w:p>
    <w:p>
      <w:pPr>
        <w:pStyle w:val="ListBullet"/>
      </w:pPr>
      <w:r>
        <w:rPr>
          <w:sz w:val="20"/>
        </w:rPr>
        <w:t>Currently leads Meta hyperscale AI and HVDC compliance programs — hands-on authority on the same grid-to-chip standards conversations FCG advises.</w:t>
      </w:r>
    </w:p>
    <w:p>
      <w:pPr>
        <w:pStyle w:val="ListBullet"/>
      </w:pPr>
      <w:r>
        <w:rPr>
          <w:sz w:val="20"/>
        </w:rPr>
        <w:t>Rare dual fluency across EMC engineering AND product safety / energy-storage / NFPA / UL — a combination most engagements split across multiple consultants.</w:t>
      </w:r>
    </w:p>
    <w:p>
      <w:pPr>
        <w:pStyle w:val="ListBullet"/>
      </w:pPr>
      <w:r>
        <w:rPr>
          <w:sz w:val="20"/>
        </w:rPr>
        <w:t>Multinational global-team leadership across the U.S., Germany, Taiwan, Thailand, and China; trusted interface across certification bodies, NRTLs, AHJs, fire marshals, utilities, insurers, and hyperscale operators.</w:t>
      </w:r>
    </w:p>
    <w:p>
      <w:pPr>
        <w:pStyle w:val="ListBullet"/>
      </w:pPr>
      <w:r>
        <w:rPr>
          <w:sz w:val="20"/>
        </w:rPr>
        <w:t>Recognized industry voice — Cisco IIoT 2023 Individual Contributor Award, 70+ Cisco awards, and active mentor of next-generation compliance engineers.</w:t>
      </w:r>
    </w:p>
    <w:p>
      <w:pPr>
        <w:pStyle w:val="ListBullet"/>
      </w:pPr>
      <w:r>
        <w:rPr>
          <w:sz w:val="20"/>
        </w:rPr>
        <w:t>Operates under FCG governance, with onboarding, timekeeping, screening, and quality oversight handled by the prime.</w:t>
      </w:r>
    </w:p>
    <w:p>
      <w:pPr>
        <w:spacing w:before="200" w:after="60"/>
      </w:pPr>
      <w:r>
        <w:rPr>
          <w:b/>
          <w:color w:val="1F3A5F"/>
          <w:sz w:val="23"/>
        </w:rPr>
        <w:t>SUITABLE CONTRACT VEHICLES AND CATEGORIES</w:t>
      </w:r>
    </w:p>
    <w:p>
      <w:pPr>
        <w:spacing w:after="80"/>
      </w:pPr>
      <w:r>
        <w:rPr>
          <w:sz w:val="20"/>
        </w:rPr>
        <w:t>Engineering services (NAICS 541330), other scientific and technical consulting (541690), administrative management and general management consulting (541611), other management consulting (541618), testing laboratories (541380), research and development in physical, engineering, and life sciences (541715), and computer systems design services (541512). Suitable as prime or subcontractor key personnel on Department of Energy, Department of Defense, General Services Administration, Department of Homeland Security, Cybersecurity and Infrastructure Security Agency (CISA), and national-laboratory data center, critical-power, and electromagnetic-compatibility engagements; also suitable for hyperscale, colocation, OEM, and utility-led pursuits requiring senior compliance and certification leadership.</w:t>
      </w:r>
    </w:p>
    <w:p>
      <w:pPr>
        <w:spacing w:before="200" w:after="60"/>
      </w:pPr>
      <w:r>
        <w:rPr>
          <w:b/>
          <w:color w:val="1F3A5F"/>
          <w:sz w:val="23"/>
        </w:rPr>
        <w:t>ENGAGEMENT THROUGH THE FIRST CALL GROUP</w:t>
      </w:r>
    </w:p>
    <w:p>
      <w:pPr>
        <w:spacing w:after="80"/>
      </w:pPr>
      <w:r>
        <w:rPr>
          <w:sz w:val="20"/>
        </w:rPr>
        <w:t>Hector A. Aviles is offered as a contract resource under The First Call Group, Inc. FCG retains responsibility for contract administration, governance, timekeeping, security and background screening, training compliance, and quality oversight. Direct candidate contact should be coordinated through FCG.</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